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1163</w:t>
      </w:r>
    </w:p>
    <w:p>
      <w:pPr>
        <w:pStyle w:val="82"/>
        <w:outlineLvl w:val="0"/>
        <w:rPr>
          <w:rFonts w:cs="Arial"/>
          <w:bCs/>
          <w:sz w:val="22"/>
        </w:rPr>
      </w:pPr>
      <w:r>
        <w:rPr>
          <w:rFonts w:cs="Arial"/>
          <w:b/>
          <w:bCs/>
          <w:sz w:val="22"/>
          <w:szCs w:val="22"/>
        </w:rPr>
        <w:t>Athens, Greece, 17 - 21 February 2025</w:t>
      </w:r>
    </w:p>
    <w:p>
      <w:pPr>
        <w:pStyle w:val="35"/>
        <w:tabs>
          <w:tab w:val="right" w:pos="9498"/>
        </w:tabs>
        <w:rPr>
          <w:rFonts w:cs="Arial"/>
          <w:bCs/>
          <w:sz w:val="22"/>
        </w:rPr>
      </w:pPr>
    </w:p>
    <w:p>
      <w:pPr>
        <w:pStyle w:val="35"/>
        <w:tabs>
          <w:tab w:val="right" w:pos="9498"/>
        </w:tabs>
        <w:rPr>
          <w:rFonts w:cs="Arial"/>
          <w:bCs/>
          <w:sz w:val="22"/>
        </w:rPr>
      </w:pPr>
      <w:r>
        <w:rPr>
          <w:rFonts w:cs="Arial"/>
          <w:bCs/>
          <w:sz w:val="22"/>
        </w:rPr>
        <w:t>3GPP TSG-SA Meeting #107</w:t>
      </w:r>
      <w:r>
        <w:rPr>
          <w:rFonts w:cs="Arial"/>
          <w:bCs/>
          <w:sz w:val="22"/>
        </w:rPr>
        <w:tab/>
      </w:r>
      <w:r>
        <w:rPr>
          <w:rFonts w:cs="Arial"/>
          <w:bCs/>
          <w:sz w:val="22"/>
          <w:highlight w:val="none"/>
        </w:rPr>
        <w:t xml:space="preserve">Tdoc </w:t>
      </w:r>
      <w:r>
        <w:rPr>
          <w:rFonts w:cs="Arial"/>
          <w:bCs/>
          <w:color w:val="2F5496"/>
          <w:sz w:val="22"/>
          <w:highlight w:val="yellow"/>
        </w:rPr>
        <w:t>&lt;DocNumber&gt;</w:t>
      </w:r>
    </w:p>
    <w:p>
      <w:pPr>
        <w:pStyle w:val="35"/>
        <w:tabs>
          <w:tab w:val="right" w:pos="9639"/>
        </w:tabs>
        <w:rPr>
          <w:rFonts w:cs="Arial"/>
          <w:bCs/>
          <w:color w:val="4472C4"/>
          <w:sz w:val="22"/>
        </w:rPr>
      </w:pPr>
      <w:r>
        <w:rPr>
          <w:rFonts w:cs="Arial"/>
          <w:bCs/>
          <w:sz w:val="22"/>
        </w:rPr>
        <w:t>Incheon, South Korea, 12 - 14 March 2025</w:t>
      </w:r>
      <w:r>
        <w:rPr>
          <w:rFonts w:cs="Arial"/>
          <w:bCs/>
          <w:color w:val="4472C4"/>
          <w:sz w:val="22"/>
        </w:rPr>
        <w:br w:type="textWrapping"/>
      </w:r>
      <w:r>
        <w:rPr>
          <w:rFonts w:cs="Arial"/>
          <w:bCs/>
          <w:color w:val="4472C4"/>
          <w:sz w:val="22"/>
        </w:rPr>
        <w:br w:type="textWrapping"/>
      </w:r>
    </w:p>
    <w:p>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Specification to TSG:</w:t>
      </w:r>
      <w:r>
        <w:rPr>
          <w:rFonts w:ascii="Arial" w:hAnsi="Arial" w:cs="Arial"/>
          <w:b/>
        </w:rPr>
        <w:br w:type="textWrapping"/>
      </w:r>
      <w:r>
        <w:rPr>
          <w:rFonts w:ascii="Arial" w:hAnsi="Arial" w:cs="Arial"/>
          <w:b/>
        </w:rPr>
        <w:t>TS</w:t>
      </w:r>
      <w:r>
        <w:rPr>
          <w:rFonts w:hint="eastAsia" w:ascii="Arial" w:hAnsi="Arial" w:cs="Arial"/>
          <w:b/>
          <w:lang w:val="en-US" w:eastAsia="zh-CN"/>
        </w:rPr>
        <w:t xml:space="preserve"> 33.545</w:t>
      </w:r>
      <w:r>
        <w:rPr>
          <w:rFonts w:ascii="Arial" w:hAnsi="Arial" w:cs="Arial"/>
          <w:b/>
        </w:rPr>
        <w:t xml:space="preserve">, </w:t>
      </w:r>
      <w:r>
        <w:rPr>
          <w:rFonts w:hint="eastAsia" w:ascii="Arial" w:hAnsi="Arial" w:cs="Arial"/>
          <w:b/>
        </w:rPr>
        <w:t>Security aspects of NR Femto</w:t>
      </w:r>
      <w:r>
        <w:rPr>
          <w:rFonts w:hint="eastAsia" w:ascii="Arial" w:hAnsi="Arial" w:cs="Arial"/>
          <w:b/>
          <w:lang w:val="en-US" w:eastAsia="zh-CN"/>
        </w:rPr>
        <w:t xml:space="preserve">, </w:t>
      </w:r>
      <w:r>
        <w:rPr>
          <w:rFonts w:ascii="Arial" w:hAnsi="Arial" w:cs="Arial"/>
          <w:b/>
        </w:rPr>
        <w:t xml:space="preserve">Version </w:t>
      </w:r>
      <w:r>
        <w:rPr>
          <w:rFonts w:hint="eastAsia" w:ascii="Arial" w:hAnsi="Arial" w:eastAsia="宋体" w:cs="Arial"/>
          <w:b/>
          <w:lang w:val="en-US" w:eastAsia="zh-CN"/>
        </w:rPr>
        <w:t>0.1</w:t>
      </w:r>
      <w:r>
        <w:rPr>
          <w:rFonts w:hint="eastAsia" w:ascii="Arial" w:hAnsi="Arial" w:cs="Arial"/>
          <w:b/>
          <w:lang w:val="en-US" w:eastAsia="zh-CN"/>
        </w:rPr>
        <w:t>.0</w:t>
      </w:r>
      <w:r>
        <w:rPr>
          <w:rFonts w:ascii="Arial" w:hAnsi="Arial" w:cs="Arial"/>
          <w:b/>
          <w:color w:val="0000FF"/>
        </w:rPr>
        <w:br w:type="textWrapping"/>
      </w:r>
    </w:p>
    <w:p>
      <w:pPr>
        <w:spacing w:after="60"/>
        <w:ind w:left="1985" w:hanging="1985"/>
        <w:rPr>
          <w:rFonts w:ascii="Arial" w:hAnsi="Arial" w:cs="Arial"/>
          <w:b/>
        </w:rPr>
      </w:pPr>
      <w:r>
        <w:rPr>
          <w:rFonts w:ascii="Arial" w:hAnsi="Arial" w:cs="Arial"/>
          <w:b/>
        </w:rPr>
        <w:t>Source:</w:t>
      </w:r>
      <w:r>
        <w:rPr>
          <w:rFonts w:ascii="Arial" w:hAnsi="Arial" w:cs="Arial"/>
          <w:b/>
        </w:rPr>
        <w:tab/>
      </w:r>
      <w:r>
        <w:rPr>
          <w:rFonts w:hint="eastAsia" w:ascii="Arial" w:hAnsi="Arial" w:eastAsia="宋体" w:cs="Arial"/>
          <w:b/>
          <w:lang w:val="en-US" w:eastAsia="zh-CN"/>
        </w:rPr>
        <w:t>TSG SA WG</w:t>
      </w:r>
      <w:r>
        <w:rPr>
          <w:rFonts w:ascii="Arial" w:hAnsi="Arial" w:cs="Arial"/>
          <w:b/>
        </w:rPr>
        <w:t>3</w:t>
      </w:r>
      <w:r>
        <w:rPr>
          <w:rFonts w:ascii="Arial" w:hAnsi="Arial" w:cs="Arial"/>
          <w:b/>
          <w:color w:val="2F5496"/>
        </w:rPr>
        <w:br w:type="textWrapping"/>
      </w:r>
      <w:bookmarkStart w:id="0" w:name="_GoBack"/>
      <w:bookmarkEnd w:id="0"/>
    </w:p>
    <w:p>
      <w:pPr>
        <w:spacing w:after="60"/>
        <w:ind w:left="1985" w:hanging="1985"/>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yellow"/>
          <w:lang w:val="en-US" w:eastAsia="zh-CN"/>
        </w:rPr>
        <w:t>xx</w:t>
      </w:r>
    </w:p>
    <w:p>
      <w:pPr>
        <w:spacing w:after="60"/>
        <w:ind w:left="1985" w:hanging="1985"/>
        <w:rPr>
          <w:rFonts w:hint="eastAsia" w:ascii="Arial" w:hAnsi="Arial" w:eastAsia="宋体" w:cs="Arial"/>
          <w:b/>
          <w:lang w:val="en-US" w:eastAsia="zh-CN"/>
        </w:rPr>
      </w:pPr>
      <w:r>
        <w:rPr>
          <w:rFonts w:ascii="Arial" w:hAnsi="Arial" w:cs="Arial"/>
          <w:b/>
        </w:rPr>
        <w:t>Release:</w:t>
      </w:r>
      <w:r>
        <w:rPr>
          <w:rFonts w:ascii="Arial" w:hAnsi="Arial" w:cs="Arial"/>
          <w:b/>
        </w:rPr>
        <w:tab/>
      </w:r>
      <w:r>
        <w:rPr>
          <w:rFonts w:hint="eastAsia" w:ascii="Arial" w:hAnsi="Arial" w:eastAsia="宋体" w:cs="Arial"/>
          <w:b/>
          <w:lang w:val="en-US" w:eastAsia="zh-CN"/>
        </w:rPr>
        <w:t>Rel-19</w:t>
      </w:r>
    </w:p>
    <w:p>
      <w:pPr>
        <w:spacing w:after="60"/>
        <w:ind w:left="1985" w:hanging="1985"/>
        <w:rPr>
          <w:rFonts w:hint="default" w:ascii="Arial" w:hAnsi="Arial" w:cs="Arial"/>
          <w:b/>
          <w:lang w:val="en-US"/>
        </w:rPr>
      </w:pPr>
      <w:r>
        <w:rPr>
          <w:rFonts w:ascii="Arial" w:hAnsi="Arial" w:cs="Arial"/>
          <w:b/>
        </w:rPr>
        <w:t>Work Item:</w:t>
      </w:r>
      <w:r>
        <w:rPr>
          <w:rFonts w:ascii="Arial" w:hAnsi="Arial" w:cs="Arial"/>
          <w:b/>
        </w:rPr>
        <w:tab/>
      </w:r>
      <w:r>
        <w:rPr>
          <w:rFonts w:hint="eastAsia" w:ascii="Arial" w:hAnsi="Arial" w:eastAsia="宋体" w:cs="Arial"/>
          <w:b/>
          <w:lang w:val="en-US" w:eastAsia="zh-CN"/>
        </w:rPr>
        <w:t>1060062, 5G_Femto_Sec</w:t>
      </w:r>
    </w:p>
    <w:p>
      <w:pPr>
        <w:spacing w:after="60"/>
        <w:ind w:left="1985" w:hanging="1985"/>
        <w:rPr>
          <w:rFonts w:hint="default" w:ascii="Arial" w:hAnsi="Arial" w:eastAsia="宋体" w:cs="Arial"/>
          <w:b/>
          <w:lang w:val="en-US" w:eastAsia="zh-CN"/>
        </w:rPr>
      </w:pPr>
      <w:r>
        <w:rPr>
          <w:rFonts w:ascii="Arial" w:hAnsi="Arial" w:cs="Arial"/>
          <w:b/>
        </w:rPr>
        <w:t>Rapporteur:</w:t>
      </w:r>
      <w:r>
        <w:rPr>
          <w:rFonts w:ascii="Arial" w:hAnsi="Arial" w:cs="Arial"/>
          <w:b/>
        </w:rPr>
        <w:tab/>
      </w:r>
      <w:r>
        <w:rPr>
          <w:rFonts w:hint="eastAsia" w:ascii="Arial" w:hAnsi="Arial" w:eastAsia="宋体" w:cs="Arial"/>
          <w:b/>
          <w:lang w:val="en-US" w:eastAsia="zh-CN"/>
        </w:rPr>
        <w:t>Peilin Liu, ZTE; Hua Song, China Mobile</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Document for:</w:t>
      </w:r>
      <w:r>
        <w:rPr>
          <w:rFonts w:ascii="Arial" w:hAnsi="Arial" w:cs="Arial"/>
          <w:b/>
        </w:rPr>
        <w:tab/>
      </w:r>
      <w:r>
        <w:rPr>
          <w:rFonts w:hint="eastAsia" w:ascii="Arial" w:hAnsi="Arial" w:eastAsia="宋体" w:cs="Arial"/>
          <w:b/>
          <w:lang w:val="en-US" w:eastAsia="zh-CN"/>
        </w:rPr>
        <w:t>Information and Approval</w:t>
      </w:r>
    </w:p>
    <w:p>
      <w:pPr>
        <w:tabs>
          <w:tab w:val="left" w:pos="3119"/>
        </w:tabs>
        <w:rPr>
          <w:b/>
          <w:sz w:val="24"/>
        </w:rPr>
      </w:pPr>
    </w:p>
    <w:p>
      <w:pPr>
        <w:pBdr>
          <w:top w:val="single" w:color="auto" w:sz="4" w:space="1"/>
        </w:pBdr>
        <w:tabs>
          <w:tab w:val="left" w:pos="3119"/>
        </w:tabs>
        <w:rPr>
          <w:b/>
          <w:sz w:val="24"/>
        </w:rPr>
      </w:pPr>
      <w:r>
        <w:rPr>
          <w:b/>
          <w:sz w:val="24"/>
        </w:rPr>
        <w:t>Abstract of document:</w:t>
      </w:r>
    </w:p>
    <w:p>
      <w:pPr>
        <w:rPr>
          <w:rFonts w:hint="eastAsia" w:eastAsia="宋体"/>
          <w:color w:val="000000"/>
          <w:sz w:val="24"/>
          <w:szCs w:val="24"/>
          <w:lang w:val="en-US" w:eastAsia="zh-CN"/>
        </w:rPr>
      </w:pPr>
      <w:r>
        <w:rPr>
          <w:sz w:val="24"/>
          <w:szCs w:val="24"/>
        </w:rPr>
        <w:t>The present doc</w:t>
      </w:r>
      <w:r>
        <w:rPr>
          <w:rFonts w:hint="eastAsia" w:eastAsia="宋体"/>
          <w:sz w:val="24"/>
          <w:szCs w:val="24"/>
          <w:lang w:val="en-US" w:eastAsia="zh-CN"/>
        </w:rPr>
        <w:t>ument specifies the security architecture for NR Femto subsystem. More specifically, this includes the security architecture and requirements on NR Femto, and other NR Femto associated network nodes (e.g. SeGW and NR Femto MS), as well as the security procedures and features which are provided to meet those requirements.</w:t>
      </w:r>
    </w:p>
    <w:p>
      <w:pPr>
        <w:pBdr>
          <w:top w:val="single" w:color="auto" w:sz="4" w:space="1"/>
        </w:pBdr>
        <w:tabs>
          <w:tab w:val="left" w:pos="3119"/>
        </w:tabs>
        <w:rPr>
          <w:b/>
          <w:sz w:val="24"/>
        </w:rPr>
      </w:pPr>
      <w:r>
        <w:rPr>
          <w:b/>
          <w:sz w:val="24"/>
        </w:rPr>
        <w:t>Changes since last presentation to TSG</w:t>
      </w:r>
      <w:r>
        <w:rPr>
          <w:rFonts w:hint="eastAsia"/>
          <w:b/>
          <w:sz w:val="24"/>
          <w:lang w:val="en-US" w:eastAsia="zh-CN"/>
        </w:rPr>
        <w:t>-SA</w:t>
      </w:r>
      <w:r>
        <w:rPr>
          <w:b/>
          <w:sz w:val="24"/>
        </w:rPr>
        <w:t xml:space="preserve"> Meeting:</w:t>
      </w:r>
    </w:p>
    <w:p>
      <w:pPr>
        <w:rPr>
          <w:rFonts w:ascii="Times New Roman" w:hAnsi="Times New Roman" w:eastAsia="Times New Roman" w:cs="Times New Roman"/>
          <w:sz w:val="24"/>
          <w:szCs w:val="24"/>
        </w:rPr>
      </w:pPr>
      <w:r>
        <w:rPr>
          <w:rFonts w:ascii="Times New Roman" w:hAnsi="Times New Roman" w:eastAsia="Times New Roman" w:cs="Times New Roman"/>
          <w:sz w:val="24"/>
          <w:szCs w:val="24"/>
        </w:rPr>
        <w:t>This is the first presentation of T</w:t>
      </w:r>
      <w:r>
        <w:rPr>
          <w:rFonts w:hint="eastAsia" w:eastAsia="宋体" w:cs="Times New Roman"/>
          <w:sz w:val="24"/>
          <w:szCs w:val="24"/>
          <w:lang w:val="en-US" w:eastAsia="zh-CN"/>
        </w:rPr>
        <w:t>S</w:t>
      </w:r>
      <w:r>
        <w:rPr>
          <w:rFonts w:ascii="Times New Roman" w:hAnsi="Times New Roman" w:eastAsia="Times New Roman" w:cs="Times New Roman"/>
          <w:sz w:val="24"/>
          <w:szCs w:val="24"/>
        </w:rPr>
        <w:t xml:space="preserve"> 33.</w:t>
      </w:r>
      <w:r>
        <w:rPr>
          <w:rFonts w:hint="eastAsia" w:eastAsia="宋体" w:cs="Times New Roman"/>
          <w:sz w:val="24"/>
          <w:szCs w:val="24"/>
          <w:lang w:val="en-US" w:eastAsia="zh-CN"/>
        </w:rPr>
        <w:t>5</w:t>
      </w:r>
      <w:r>
        <w:rPr>
          <w:rFonts w:hint="eastAsia" w:ascii="Times New Roman" w:hAnsi="Times New Roman" w:eastAsia="Times New Roman" w:cs="Times New Roman"/>
          <w:sz w:val="24"/>
          <w:szCs w:val="24"/>
          <w:lang w:val="en-US" w:eastAsia="zh-CN"/>
        </w:rPr>
        <w:t>45</w:t>
      </w:r>
      <w:r>
        <w:rPr>
          <w:rFonts w:ascii="Times New Roman" w:hAnsi="Times New Roman" w:eastAsia="Times New Roman" w:cs="Times New Roman"/>
          <w:sz w:val="24"/>
          <w:szCs w:val="24"/>
        </w:rPr>
        <w:t xml:space="preserve"> to TSG-SA.</w:t>
      </w:r>
    </w:p>
    <w:p>
      <w:pPr>
        <w:pBdr>
          <w:top w:val="single" w:color="auto" w:sz="4" w:space="1"/>
        </w:pBdr>
        <w:tabs>
          <w:tab w:val="left" w:pos="3119"/>
        </w:tabs>
        <w:rPr>
          <w:b/>
          <w:sz w:val="24"/>
        </w:rPr>
      </w:pPr>
      <w:r>
        <w:rPr>
          <w:b/>
          <w:sz w:val="24"/>
        </w:rPr>
        <w:t>Outstanding Issues:</w:t>
      </w:r>
    </w:p>
    <w:p>
      <w:pPr>
        <w:rPr>
          <w:rFonts w:ascii="Times New Roman" w:hAnsi="Times New Roman" w:eastAsia="Times New Roman" w:cs="Times New Roman"/>
          <w:sz w:val="24"/>
          <w:szCs w:val="24"/>
          <w:lang w:val="en-US" w:eastAsia="zh-CN"/>
        </w:rPr>
      </w:pPr>
      <w:r>
        <w:rPr>
          <w:rFonts w:hint="eastAsia" w:ascii="Times New Roman" w:hAnsi="Times New Roman" w:eastAsia="Times New Roman" w:cs="Times New Roman"/>
          <w:sz w:val="24"/>
          <w:szCs w:val="24"/>
          <w:lang w:val="en-US" w:eastAsia="zh-CN"/>
        </w:rPr>
        <w:t>None</w:t>
      </w:r>
      <w:r>
        <w:rPr>
          <w:rFonts w:ascii="Times New Roman" w:hAnsi="Times New Roman" w:eastAsia="Times New Roman" w:cs="Times New Roman"/>
          <w:sz w:val="24"/>
          <w:szCs w:val="24"/>
          <w:lang w:val="en-US" w:eastAsia="zh-CN"/>
        </w:rPr>
        <w:t>.</w:t>
      </w:r>
    </w:p>
    <w:p>
      <w:pPr>
        <w:pBdr>
          <w:top w:val="single" w:color="auto" w:sz="4" w:space="1"/>
        </w:pBdr>
        <w:tabs>
          <w:tab w:val="left" w:pos="3119"/>
        </w:tabs>
        <w:rPr>
          <w:b/>
          <w:sz w:val="24"/>
        </w:rPr>
      </w:pPr>
      <w:r>
        <w:rPr>
          <w:b/>
          <w:sz w:val="24"/>
        </w:rPr>
        <w:t>Contentious Issues:</w:t>
      </w:r>
    </w:p>
    <w:p>
      <w:pPr>
        <w:rPr>
          <w:rFonts w:ascii="Times New Roman" w:hAnsi="Times New Roman" w:eastAsia="Times New Roman" w:cs="Times New Roman"/>
          <w:sz w:val="24"/>
          <w:szCs w:val="24"/>
          <w:lang w:val="en-US" w:eastAsia="zh-CN"/>
        </w:rPr>
      </w:pPr>
      <w:r>
        <w:rPr>
          <w:rFonts w:hint="eastAsia" w:ascii="Times New Roman" w:hAnsi="Times New Roman" w:eastAsia="Times New Roman" w:cs="Times New Roman"/>
          <w:sz w:val="24"/>
          <w:szCs w:val="24"/>
          <w:lang w:val="en-US" w:eastAsia="zh-CN"/>
        </w:rPr>
        <w:t>None</w:t>
      </w:r>
      <w:r>
        <w:rPr>
          <w:rFonts w:ascii="Times New Roman" w:hAnsi="Times New Roman" w:eastAsia="Times New Roman" w:cs="Times New Roman"/>
          <w:sz w:val="24"/>
          <w:szCs w:val="24"/>
          <w:lang w:val="en-US" w:eastAsia="zh-CN"/>
        </w:rPr>
        <w:t>.</w:t>
      </w:r>
    </w:p>
    <w:p>
      <w:pPr>
        <w:tabs>
          <w:tab w:val="left" w:pos="3119"/>
        </w:tabs>
        <w:rPr>
          <w:b/>
          <w:sz w:val="24"/>
        </w:rPr>
      </w:pPr>
    </w:p>
    <w:p>
      <w:pPr>
        <w:tabs>
          <w:tab w:val="left" w:pos="3119"/>
        </w:tabs>
        <w:spacing w:after="0"/>
        <w:rPr>
          <w:sz w:val="16"/>
          <w:szCs w:val="16"/>
          <w:u w:val="single"/>
        </w:rPr>
      </w:pPr>
      <w:r>
        <w:rPr>
          <w:sz w:val="16"/>
          <w:szCs w:val="16"/>
          <w:u w:val="single"/>
        </w:rPr>
        <w:t>Change history of this document:</w:t>
      </w:r>
    </w:p>
    <w:p>
      <w:pPr>
        <w:tabs>
          <w:tab w:val="left" w:pos="3119"/>
        </w:tabs>
        <w:spacing w:after="0"/>
        <w:rPr>
          <w:sz w:val="16"/>
          <w:szCs w:val="16"/>
        </w:rPr>
      </w:pPr>
      <w:r>
        <w:rPr>
          <w:sz w:val="16"/>
          <w:szCs w:val="16"/>
        </w:rPr>
        <w:t>1999-11-17: original issue</w:t>
      </w:r>
    </w:p>
    <w:p>
      <w:pPr>
        <w:tabs>
          <w:tab w:val="left" w:pos="3119"/>
        </w:tabs>
        <w:spacing w:after="0"/>
        <w:rPr>
          <w:sz w:val="16"/>
          <w:szCs w:val="16"/>
        </w:rPr>
      </w:pPr>
      <w:r>
        <w:rPr>
          <w:sz w:val="16"/>
          <w:szCs w:val="16"/>
        </w:rPr>
        <w:t>2007-09-06: removal of references to Working Groups; bring names of TSGs up to date; correction of typo</w:t>
      </w:r>
    </w:p>
    <w:p>
      <w:pPr>
        <w:tabs>
          <w:tab w:val="left" w:pos="3119"/>
        </w:tabs>
        <w:spacing w:after="0"/>
        <w:rPr>
          <w:sz w:val="16"/>
          <w:szCs w:val="16"/>
        </w:rPr>
      </w:pPr>
      <w:r>
        <w:rPr>
          <w:sz w:val="16"/>
          <w:szCs w:val="16"/>
        </w:rPr>
        <w:t>2015-01-06: adds tdoc header &amp; removes redundant information below</w:t>
      </w:r>
    </w:p>
    <w:p>
      <w:pPr>
        <w:tabs>
          <w:tab w:val="left" w:pos="3119"/>
        </w:tabs>
        <w:spacing w:after="0"/>
        <w:rPr>
          <w:sz w:val="16"/>
          <w:szCs w:val="16"/>
        </w:rPr>
      </w:pPr>
      <w:r>
        <w:rPr>
          <w:sz w:val="16"/>
          <w:szCs w:val="16"/>
        </w:rPr>
        <w:t>2024-11-23: aligns RAN and SA/CT templates by adding information to the header</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40BEF"/>
    <w:rsid w:val="000C1325"/>
    <w:rsid w:val="000F7ECB"/>
    <w:rsid w:val="00201520"/>
    <w:rsid w:val="00222D66"/>
    <w:rsid w:val="002B09A1"/>
    <w:rsid w:val="002D0E83"/>
    <w:rsid w:val="00384314"/>
    <w:rsid w:val="0045428D"/>
    <w:rsid w:val="004929FD"/>
    <w:rsid w:val="004A3C79"/>
    <w:rsid w:val="004B159E"/>
    <w:rsid w:val="004F5115"/>
    <w:rsid w:val="00702FB2"/>
    <w:rsid w:val="007E2108"/>
    <w:rsid w:val="00812091"/>
    <w:rsid w:val="00823475"/>
    <w:rsid w:val="00C75908"/>
    <w:rsid w:val="00CC358C"/>
    <w:rsid w:val="00D63217"/>
    <w:rsid w:val="00DC278D"/>
    <w:rsid w:val="00E24E87"/>
    <w:rsid w:val="00E62388"/>
    <w:rsid w:val="00FE496D"/>
    <w:rsid w:val="15444349"/>
    <w:rsid w:val="217A117D"/>
    <w:rsid w:val="38F031F5"/>
    <w:rsid w:val="3CBA60B2"/>
    <w:rsid w:val="3CFF6BC8"/>
    <w:rsid w:val="4997280C"/>
    <w:rsid w:val="7116721D"/>
    <w:rsid w:val="74377D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ko-KR"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annotation text"/>
    <w:basedOn w:val="1"/>
    <w:link w:val="80"/>
    <w:qFormat/>
    <w:uiPriority w:val="0"/>
    <w:pPr>
      <w:tabs>
        <w:tab w:val="left" w:pos="1418"/>
        <w:tab w:val="left" w:pos="4678"/>
        <w:tab w:val="left" w:pos="5954"/>
        <w:tab w:val="left" w:pos="7088"/>
      </w:tabs>
      <w:spacing w:after="240"/>
      <w:jc w:val="both"/>
    </w:pPr>
    <w:rPr>
      <w:rFonts w:ascii="Arial" w:hAnsi="Arial"/>
      <w:lang w:eastAsia="en-US"/>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link w:val="81"/>
    <w:qFormat/>
    <w:uiPriority w:val="0"/>
    <w:pPr>
      <w:spacing w:after="0"/>
    </w:pPr>
    <w:rPr>
      <w:rFonts w:ascii="Segoe UI" w:hAnsi="Segoe UI" w:cs="Segoe UI"/>
      <w:sz w:val="18"/>
      <w:szCs w:val="18"/>
    </w:rPr>
  </w:style>
  <w:style w:type="paragraph" w:styleId="34">
    <w:name w:val="footer"/>
    <w:basedOn w:val="35"/>
    <w:qFormat/>
    <w:uiPriority w:val="0"/>
    <w:pPr>
      <w:jc w:val="center"/>
    </w:pPr>
    <w:rPr>
      <w:i/>
    </w:rPr>
  </w:style>
  <w:style w:type="paragraph" w:styleId="35">
    <w:name w:val="header"/>
    <w:link w:val="79"/>
    <w:qFormat/>
    <w:uiPriority w:val="0"/>
    <w:pPr>
      <w:widowControl w:val="0"/>
    </w:pPr>
    <w:rPr>
      <w:rFonts w:ascii="Arial" w:hAnsi="Arial" w:eastAsia="Times New Roman" w:cs="Times New Roman"/>
      <w:b/>
      <w:sz w:val="18"/>
      <w:lang w:val="en-GB" w:eastAsia="ko-KR"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4"/>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annotation reference"/>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47">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8">
    <w:name w:val="TT"/>
    <w:basedOn w:val="4"/>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7">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2">
    <w:name w:val="Editor's Note"/>
    <w:basedOn w:val="54"/>
    <w:qFormat/>
    <w:uiPriority w:val="0"/>
    <w:rPr>
      <w:color w:val="FF0000"/>
    </w:rPr>
  </w:style>
  <w:style w:type="paragraph" w:customStyle="1" w:styleId="73">
    <w:name w:val="B1"/>
    <w:basedOn w:val="16"/>
    <w:qFormat/>
    <w:uiPriority w:val="0"/>
  </w:style>
  <w:style w:type="paragraph" w:customStyle="1" w:styleId="74">
    <w:name w:val="B2"/>
    <w:basedOn w:val="15"/>
    <w:qFormat/>
    <w:uiPriority w:val="0"/>
  </w:style>
  <w:style w:type="paragraph" w:customStyle="1" w:styleId="75">
    <w:name w:val="B3"/>
    <w:basedOn w:val="14"/>
    <w:qFormat/>
    <w:uiPriority w:val="0"/>
  </w:style>
  <w:style w:type="paragraph" w:customStyle="1" w:styleId="76">
    <w:name w:val="B4"/>
    <w:basedOn w:val="38"/>
    <w:qFormat/>
    <w:uiPriority w:val="0"/>
  </w:style>
  <w:style w:type="paragraph" w:customStyle="1" w:styleId="77">
    <w:name w:val="B5"/>
    <w:basedOn w:val="37"/>
    <w:qFormat/>
    <w:uiPriority w:val="0"/>
  </w:style>
  <w:style w:type="paragraph" w:customStyle="1" w:styleId="78">
    <w:name w:val="ZTD"/>
    <w:basedOn w:val="66"/>
    <w:qFormat/>
    <w:uiPriority w:val="0"/>
    <w:pPr>
      <w:framePr w:hRule="auto" w:y="852"/>
    </w:pPr>
    <w:rPr>
      <w:i w:val="0"/>
      <w:sz w:val="40"/>
    </w:rPr>
  </w:style>
  <w:style w:type="character" w:customStyle="1" w:styleId="79">
    <w:name w:val="Header Char"/>
    <w:link w:val="35"/>
    <w:qFormat/>
    <w:uiPriority w:val="0"/>
    <w:rPr>
      <w:rFonts w:ascii="Arial" w:hAnsi="Arial"/>
      <w:b/>
      <w:sz w:val="18"/>
      <w:lang w:eastAsia="ko-KR"/>
    </w:rPr>
  </w:style>
  <w:style w:type="character" w:customStyle="1" w:styleId="80">
    <w:name w:val="Comment Text Char"/>
    <w:link w:val="30"/>
    <w:qFormat/>
    <w:uiPriority w:val="0"/>
    <w:rPr>
      <w:rFonts w:ascii="Arial" w:hAnsi="Arial"/>
      <w:lang w:eastAsia="en-US"/>
    </w:rPr>
  </w:style>
  <w:style w:type="character" w:customStyle="1" w:styleId="81">
    <w:name w:val="Balloon Text Char"/>
    <w:link w:val="33"/>
    <w:qFormat/>
    <w:uiPriority w:val="0"/>
    <w:rPr>
      <w:rFonts w:ascii="Segoe UI" w:hAnsi="Segoe UI" w:cs="Segoe UI"/>
      <w:sz w:val="18"/>
      <w:szCs w:val="18"/>
      <w:lang w:eastAsia="ko-KR"/>
    </w:rPr>
  </w:style>
  <w:style w:type="paragraph" w:customStyle="1" w:styleId="82">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174</Words>
  <Characters>1051</Characters>
  <Lines>8</Lines>
  <Paragraphs>2</Paragraphs>
  <TotalTime>19</TotalTime>
  <ScaleCrop>false</ScaleCrop>
  <LinksUpToDate>false</LinksUpToDate>
  <CharactersWithSpaces>1223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2024-12-08T17:03:00Z</dcterms:created>
  <dc:creator>Maurice Pope</dc:creator>
  <dc:description>Template for presentation of Specifications to TSGs and WGs</dc:description>
  <cp:lastModifiedBy>ZTE-V1</cp:lastModifiedBy>
  <dcterms:modified xsi:type="dcterms:W3CDTF">2025-02-21T12:20:48Z</dcterms:modified>
  <dc:title>Presentation to TSG / WG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A15D3A071427497FB15A005A1499EA45</vt:lpwstr>
  </property>
</Properties>
</file>